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61AF9">
      <w:pPr>
        <w:wordWrap w:val="0"/>
        <w:topLinePunct/>
        <w:spacing w:line="240" w:lineRule="auto"/>
        <w:jc w:val="left"/>
        <w:outlineLvl w:val="1"/>
        <w:rPr>
          <w:rFonts w:hint="eastAsia" w:eastAsia="仿宋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"/>
          <w:b/>
          <w:kern w:val="0"/>
          <w:sz w:val="28"/>
          <w:szCs w:val="28"/>
          <w:lang w:val="en-US" w:eastAsia="zh-CN"/>
        </w:rPr>
        <w:t>附件2</w:t>
      </w:r>
    </w:p>
    <w:p w14:paraId="7907D730">
      <w:pPr>
        <w:rPr>
          <w:rFonts w:hint="eastAsia" w:ascii="仿宋" w:hAnsi="仿宋" w:eastAsia="仿宋" w:cs="仿宋"/>
          <w:b/>
          <w:bCs/>
          <w:kern w:val="0"/>
          <w:sz w:val="24"/>
        </w:rPr>
      </w:pPr>
    </w:p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  <w:t>省煤田二队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  <w:lang w:val="en-US" w:eastAsia="zh-CN"/>
        </w:rPr>
        <w:t>潘二矿潘四东区抽采系统升级改造工程入井钻孔工程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highlight w:val="none"/>
        </w:rPr>
        <w:t>项目固井服务报价表</w:t>
      </w:r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  <w:highlight w:val="none"/>
        </w:rPr>
      </w:pPr>
    </w:p>
    <w:tbl>
      <w:tblPr>
        <w:tblStyle w:val="14"/>
        <w:tblW w:w="9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2628"/>
        <w:gridCol w:w="1879"/>
        <w:gridCol w:w="1879"/>
      </w:tblGrid>
      <w:tr w14:paraId="05CC4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257664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开次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027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孔深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C9F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单次报价（元）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4D6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779C9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7A5B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一开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B2F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379.2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F0DB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03074E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7002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B6D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二开</w:t>
            </w:r>
          </w:p>
        </w:tc>
        <w:tc>
          <w:tcPr>
            <w:tcW w:w="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E24D4B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val="en-US" w:eastAsia="zh-CN" w:bidi="ar"/>
              </w:rPr>
              <w:t>655.4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9CF4C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3F27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A63F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5A670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合计（元）</w:t>
            </w:r>
          </w:p>
        </w:tc>
        <w:tc>
          <w:tcPr>
            <w:tcW w:w="63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00398DF5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（小写）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（大写：）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 xml:space="preserve">            </w:t>
            </w:r>
          </w:p>
        </w:tc>
      </w:tr>
      <w:tr w14:paraId="187ED5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85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F2EB884"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注：报价含动迁费，含9%增值税，因供应商原因导致中途退出的，无结算费用。</w:t>
            </w:r>
          </w:p>
        </w:tc>
      </w:tr>
    </w:tbl>
    <w:p w14:paraId="115628AB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3AA313B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  <w:tr w14:paraId="74A9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FDD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highlight w:val="none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944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D23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DD79EA9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5AC3C2F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CC0BBD8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495BD24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C041780">
      <w:pPr>
        <w:rPr>
          <w:rFonts w:ascii="Times New Roman" w:hAnsi="Times New Roman" w:eastAsia="宋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41D5F"/>
    <w:rsid w:val="0005001A"/>
    <w:rsid w:val="00094DA9"/>
    <w:rsid w:val="00095834"/>
    <w:rsid w:val="000D21EA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86450"/>
    <w:rsid w:val="001916C3"/>
    <w:rsid w:val="001B0C50"/>
    <w:rsid w:val="001B29AD"/>
    <w:rsid w:val="001B2B6D"/>
    <w:rsid w:val="001C72DD"/>
    <w:rsid w:val="001D1BEB"/>
    <w:rsid w:val="001D7693"/>
    <w:rsid w:val="0020283F"/>
    <w:rsid w:val="00215DB8"/>
    <w:rsid w:val="002250F9"/>
    <w:rsid w:val="00225D0C"/>
    <w:rsid w:val="0024449D"/>
    <w:rsid w:val="002447C2"/>
    <w:rsid w:val="0024793A"/>
    <w:rsid w:val="002B61FF"/>
    <w:rsid w:val="002C3C58"/>
    <w:rsid w:val="002D7565"/>
    <w:rsid w:val="002E7811"/>
    <w:rsid w:val="00307F39"/>
    <w:rsid w:val="00311F88"/>
    <w:rsid w:val="00324C31"/>
    <w:rsid w:val="00333006"/>
    <w:rsid w:val="0034444D"/>
    <w:rsid w:val="00347A36"/>
    <w:rsid w:val="00355613"/>
    <w:rsid w:val="00382442"/>
    <w:rsid w:val="00391B86"/>
    <w:rsid w:val="003B3EB1"/>
    <w:rsid w:val="003C0C21"/>
    <w:rsid w:val="003C0F9E"/>
    <w:rsid w:val="003D154C"/>
    <w:rsid w:val="003E3AD3"/>
    <w:rsid w:val="003F0314"/>
    <w:rsid w:val="00422E88"/>
    <w:rsid w:val="0044022D"/>
    <w:rsid w:val="00441705"/>
    <w:rsid w:val="00464681"/>
    <w:rsid w:val="004825BB"/>
    <w:rsid w:val="00483516"/>
    <w:rsid w:val="004A7293"/>
    <w:rsid w:val="004B65E4"/>
    <w:rsid w:val="004D4FB1"/>
    <w:rsid w:val="004D6B4E"/>
    <w:rsid w:val="004E2F93"/>
    <w:rsid w:val="00513160"/>
    <w:rsid w:val="005253E8"/>
    <w:rsid w:val="00530A02"/>
    <w:rsid w:val="00532533"/>
    <w:rsid w:val="00542A8C"/>
    <w:rsid w:val="005648F2"/>
    <w:rsid w:val="00567AA0"/>
    <w:rsid w:val="005C4752"/>
    <w:rsid w:val="005D27A2"/>
    <w:rsid w:val="005E3D43"/>
    <w:rsid w:val="006521E0"/>
    <w:rsid w:val="00653DE8"/>
    <w:rsid w:val="006542E1"/>
    <w:rsid w:val="00661FC6"/>
    <w:rsid w:val="0066354D"/>
    <w:rsid w:val="00677309"/>
    <w:rsid w:val="006D16DC"/>
    <w:rsid w:val="006D3DAA"/>
    <w:rsid w:val="006F1D3E"/>
    <w:rsid w:val="006F579B"/>
    <w:rsid w:val="007313C9"/>
    <w:rsid w:val="00737F8F"/>
    <w:rsid w:val="00751CFC"/>
    <w:rsid w:val="007907AE"/>
    <w:rsid w:val="007A195E"/>
    <w:rsid w:val="007A3DB3"/>
    <w:rsid w:val="007B7F9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C54B3"/>
    <w:rsid w:val="008C6032"/>
    <w:rsid w:val="008D4A71"/>
    <w:rsid w:val="008E5D74"/>
    <w:rsid w:val="008F3913"/>
    <w:rsid w:val="008F54E5"/>
    <w:rsid w:val="00933462"/>
    <w:rsid w:val="00950059"/>
    <w:rsid w:val="009877EE"/>
    <w:rsid w:val="009A4C3D"/>
    <w:rsid w:val="009C2C53"/>
    <w:rsid w:val="009C5BC9"/>
    <w:rsid w:val="009C5D90"/>
    <w:rsid w:val="009E25A4"/>
    <w:rsid w:val="009F31D5"/>
    <w:rsid w:val="00A14DFD"/>
    <w:rsid w:val="00A15B36"/>
    <w:rsid w:val="00A233F4"/>
    <w:rsid w:val="00A45D1A"/>
    <w:rsid w:val="00A507BE"/>
    <w:rsid w:val="00A94AB9"/>
    <w:rsid w:val="00AA31A7"/>
    <w:rsid w:val="00AD0752"/>
    <w:rsid w:val="00AE3AA3"/>
    <w:rsid w:val="00B07CA4"/>
    <w:rsid w:val="00B11B08"/>
    <w:rsid w:val="00B1204B"/>
    <w:rsid w:val="00B127A7"/>
    <w:rsid w:val="00B2074C"/>
    <w:rsid w:val="00B20D99"/>
    <w:rsid w:val="00B41D0C"/>
    <w:rsid w:val="00B933E1"/>
    <w:rsid w:val="00BB39A8"/>
    <w:rsid w:val="00C038F6"/>
    <w:rsid w:val="00C24FFD"/>
    <w:rsid w:val="00C52508"/>
    <w:rsid w:val="00C92B88"/>
    <w:rsid w:val="00CB6EFF"/>
    <w:rsid w:val="00CD2C24"/>
    <w:rsid w:val="00CE69B1"/>
    <w:rsid w:val="00D01A4C"/>
    <w:rsid w:val="00D04B87"/>
    <w:rsid w:val="00D26A38"/>
    <w:rsid w:val="00DA1534"/>
    <w:rsid w:val="00DD48DB"/>
    <w:rsid w:val="00DF0095"/>
    <w:rsid w:val="00DF4A1A"/>
    <w:rsid w:val="00E02607"/>
    <w:rsid w:val="00E03CD1"/>
    <w:rsid w:val="00E53E8D"/>
    <w:rsid w:val="00E714FA"/>
    <w:rsid w:val="00E92EA4"/>
    <w:rsid w:val="00EA3132"/>
    <w:rsid w:val="00EB75FD"/>
    <w:rsid w:val="00EC6CB4"/>
    <w:rsid w:val="00ED4597"/>
    <w:rsid w:val="00F33F40"/>
    <w:rsid w:val="00F41C8A"/>
    <w:rsid w:val="00F5005F"/>
    <w:rsid w:val="00F6539B"/>
    <w:rsid w:val="00F926A2"/>
    <w:rsid w:val="00FA4177"/>
    <w:rsid w:val="00FB0EAD"/>
    <w:rsid w:val="00FB3518"/>
    <w:rsid w:val="00FD292C"/>
    <w:rsid w:val="00FD7839"/>
    <w:rsid w:val="00FE1DC0"/>
    <w:rsid w:val="00FF37C9"/>
    <w:rsid w:val="018D762D"/>
    <w:rsid w:val="02EB30DF"/>
    <w:rsid w:val="05CB51C8"/>
    <w:rsid w:val="0C4F0B51"/>
    <w:rsid w:val="0DE52618"/>
    <w:rsid w:val="0F1E4556"/>
    <w:rsid w:val="173D342E"/>
    <w:rsid w:val="1783031F"/>
    <w:rsid w:val="1BFE2CE6"/>
    <w:rsid w:val="1D0F4604"/>
    <w:rsid w:val="1DCE34AB"/>
    <w:rsid w:val="1FCB7383"/>
    <w:rsid w:val="214671B8"/>
    <w:rsid w:val="236E0751"/>
    <w:rsid w:val="26AF3D05"/>
    <w:rsid w:val="26E32CC3"/>
    <w:rsid w:val="2893603D"/>
    <w:rsid w:val="300F2A42"/>
    <w:rsid w:val="32273A57"/>
    <w:rsid w:val="350E41CD"/>
    <w:rsid w:val="37CF2C73"/>
    <w:rsid w:val="3BCF126B"/>
    <w:rsid w:val="3CAE62A5"/>
    <w:rsid w:val="431C2DA7"/>
    <w:rsid w:val="4329772D"/>
    <w:rsid w:val="455F454A"/>
    <w:rsid w:val="460E67AE"/>
    <w:rsid w:val="47512280"/>
    <w:rsid w:val="49FD71C1"/>
    <w:rsid w:val="4B0D47A8"/>
    <w:rsid w:val="4C7C156B"/>
    <w:rsid w:val="5A8D7133"/>
    <w:rsid w:val="636E31A6"/>
    <w:rsid w:val="6C8C14E4"/>
    <w:rsid w:val="6F1E78D9"/>
    <w:rsid w:val="6F584ACF"/>
    <w:rsid w:val="7079684B"/>
    <w:rsid w:val="715E15D4"/>
    <w:rsid w:val="74771104"/>
    <w:rsid w:val="75F33005"/>
    <w:rsid w:val="77894387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next w:val="1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  <w:style w:type="paragraph" w:customStyle="1" w:styleId="2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475</Words>
  <Characters>576</Characters>
  <Lines>16</Lines>
  <Paragraphs>4</Paragraphs>
  <TotalTime>11</TotalTime>
  <ScaleCrop>false</ScaleCrop>
  <LinksUpToDate>false</LinksUpToDate>
  <CharactersWithSpaces>605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qw</cp:lastModifiedBy>
  <cp:lastPrinted>2024-06-07T02:46:00Z</cp:lastPrinted>
  <dcterms:modified xsi:type="dcterms:W3CDTF">2025-04-16T09:21:54Z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79019B23536B48BCB9BEEC1B64070DE8_13</vt:lpwstr>
  </property>
  <property fmtid="{D5CDD505-2E9C-101B-9397-08002B2CF9AE}" pid="4" name="KSOTemplateDocerSaveRecord">
    <vt:lpwstr>eyJoZGlkIjoiZjdiZTlmZThkZGJlZmNjN2M2NWZlNGVlMDdlZDA1N2MifQ==</vt:lpwstr>
  </property>
</Properties>
</file>